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87" w:rsidRDefault="00174DC4" w:rsidP="00FC1187">
      <w:pPr>
        <w:rPr>
          <w:rFonts w:ascii="Calibri" w:hAnsi="Calibri"/>
          <w:b/>
          <w:color w:val="000000"/>
          <w:spacing w:val="-4"/>
          <w:w w:val="105"/>
        </w:rPr>
      </w:pPr>
      <w:r w:rsidRPr="00C767C0">
        <w:rPr>
          <w:rFonts w:ascii="Calibri" w:hAnsi="Calibri"/>
          <w:b/>
          <w:color w:val="000000"/>
          <w:spacing w:val="-4"/>
          <w:w w:val="105"/>
        </w:rPr>
        <w:t>Příloha č.</w:t>
      </w:r>
      <w:r w:rsidR="007867A7">
        <w:rPr>
          <w:rFonts w:ascii="Calibri" w:hAnsi="Calibri"/>
          <w:b/>
          <w:color w:val="000000"/>
          <w:spacing w:val="-4"/>
          <w:w w:val="105"/>
        </w:rPr>
        <w:t>1</w:t>
      </w:r>
      <w:r w:rsidR="00FC1187">
        <w:rPr>
          <w:rFonts w:ascii="Calibri" w:hAnsi="Calibri"/>
          <w:b/>
          <w:color w:val="000000"/>
          <w:spacing w:val="-4"/>
          <w:w w:val="105"/>
        </w:rPr>
        <w:t>.</w:t>
      </w:r>
      <w:proofErr w:type="gramStart"/>
      <w:r w:rsidR="00FC1187">
        <w:rPr>
          <w:rFonts w:ascii="Calibri" w:hAnsi="Calibri"/>
          <w:b/>
          <w:color w:val="000000"/>
          <w:spacing w:val="-4"/>
          <w:w w:val="105"/>
        </w:rPr>
        <w:t>1a</w:t>
      </w:r>
      <w:proofErr w:type="gramEnd"/>
    </w:p>
    <w:p w:rsidR="00FC1187" w:rsidRDefault="008E18A5" w:rsidP="00FC1187">
      <w:pPr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 xml:space="preserve"> </w:t>
      </w:r>
      <w:r w:rsidR="00174DC4" w:rsidRPr="00C767C0">
        <w:rPr>
          <w:rFonts w:ascii="Calibri" w:hAnsi="Calibri"/>
          <w:b/>
          <w:color w:val="000000"/>
          <w:spacing w:val="-4"/>
          <w:w w:val="105"/>
        </w:rPr>
        <w:t xml:space="preserve">zadávací dokumentace – </w:t>
      </w:r>
      <w:r w:rsidR="00FC1187">
        <w:rPr>
          <w:rFonts w:ascii="Calibri" w:hAnsi="Calibri"/>
          <w:b/>
          <w:color w:val="000000"/>
          <w:spacing w:val="-4"/>
          <w:w w:val="105"/>
        </w:rPr>
        <w:t xml:space="preserve">Rekonstrukce veřejného osvětlení obce </w:t>
      </w:r>
      <w:r w:rsidR="004C5F34">
        <w:rPr>
          <w:rFonts w:ascii="Calibri" w:hAnsi="Calibri"/>
          <w:b/>
          <w:color w:val="000000"/>
          <w:spacing w:val="-4"/>
          <w:w w:val="105"/>
        </w:rPr>
        <w:t>HVOZD</w:t>
      </w:r>
    </w:p>
    <w:p w:rsidR="00FC1187" w:rsidRDefault="004C5F34" w:rsidP="00FC1187">
      <w:pPr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>Evidenční číslo zakázky: HVO</w:t>
      </w:r>
      <w:r w:rsidR="00FC1187" w:rsidRPr="00FC1187">
        <w:rPr>
          <w:rFonts w:ascii="Calibri" w:hAnsi="Calibri"/>
          <w:b/>
          <w:color w:val="000000"/>
          <w:spacing w:val="-4"/>
          <w:w w:val="105"/>
        </w:rPr>
        <w:t xml:space="preserve"> 01 /2019</w:t>
      </w:r>
    </w:p>
    <w:p w:rsidR="00FC1187" w:rsidRPr="00FC1187" w:rsidRDefault="00FC1187" w:rsidP="00FC1187">
      <w:pPr>
        <w:rPr>
          <w:rFonts w:ascii="Calibri" w:hAnsi="Calibri"/>
          <w:b/>
          <w:color w:val="000000"/>
          <w:spacing w:val="-4"/>
          <w:w w:val="105"/>
        </w:rPr>
      </w:pPr>
    </w:p>
    <w:p w:rsidR="0048008D" w:rsidRDefault="00FC1187" w:rsidP="00FC1187">
      <w:pPr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 xml:space="preserve"> </w:t>
      </w:r>
      <w:r w:rsidR="00AF5691">
        <w:rPr>
          <w:rFonts w:ascii="Calibri" w:hAnsi="Calibri"/>
          <w:b/>
          <w:color w:val="000000"/>
          <w:spacing w:val="-4"/>
          <w:w w:val="105"/>
        </w:rPr>
        <w:t>„</w:t>
      </w:r>
      <w:r w:rsidR="00174DC4" w:rsidRPr="00C767C0">
        <w:rPr>
          <w:rFonts w:ascii="Calibri" w:hAnsi="Calibri"/>
          <w:b/>
          <w:color w:val="000000"/>
          <w:spacing w:val="-4"/>
          <w:w w:val="105"/>
        </w:rPr>
        <w:t xml:space="preserve">Technická specifikace parametrů pro </w:t>
      </w:r>
      <w:r w:rsidR="0094623A">
        <w:rPr>
          <w:rFonts w:ascii="Calibri" w:hAnsi="Calibri"/>
          <w:b/>
          <w:color w:val="000000"/>
          <w:spacing w:val="-4"/>
          <w:w w:val="105"/>
        </w:rPr>
        <w:t xml:space="preserve">výložníkové </w:t>
      </w:r>
      <w:r w:rsidR="00174DC4" w:rsidRPr="00C767C0">
        <w:rPr>
          <w:rFonts w:ascii="Calibri" w:hAnsi="Calibri"/>
          <w:b/>
          <w:color w:val="000000"/>
          <w:spacing w:val="-4"/>
          <w:w w:val="105"/>
        </w:rPr>
        <w:t>svítidlo</w:t>
      </w:r>
      <w:r w:rsidR="008E18A5">
        <w:rPr>
          <w:rFonts w:ascii="Calibri" w:hAnsi="Calibri"/>
          <w:b/>
          <w:color w:val="000000"/>
          <w:spacing w:val="-4"/>
          <w:w w:val="105"/>
        </w:rPr>
        <w:t xml:space="preserve"> VO</w:t>
      </w:r>
      <w:r w:rsidR="00AF5691">
        <w:rPr>
          <w:rFonts w:ascii="Calibri" w:hAnsi="Calibri"/>
          <w:b/>
          <w:color w:val="000000"/>
          <w:spacing w:val="-4"/>
          <w:w w:val="105"/>
        </w:rPr>
        <w:t>“</w:t>
      </w:r>
    </w:p>
    <w:p w:rsidR="00FC1187" w:rsidRPr="00C767C0" w:rsidRDefault="00FC1187" w:rsidP="00FC1187">
      <w:pPr>
        <w:rPr>
          <w:rFonts w:ascii="Calibri" w:hAnsi="Calibri"/>
          <w:b/>
          <w:color w:val="000000"/>
          <w:spacing w:val="-4"/>
          <w:w w:val="105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3686"/>
        <w:gridCol w:w="1437"/>
      </w:tblGrid>
      <w:tr w:rsidR="0048008D" w:rsidRPr="00FC1187" w:rsidTr="0066409C">
        <w:trPr>
          <w:trHeight w:hRule="exact" w:val="50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FC1187" w:rsidRDefault="00174DC4">
            <w:pPr>
              <w:ind w:left="120"/>
              <w:rPr>
                <w:rFonts w:ascii="Arial" w:hAnsi="Arial" w:cs="Arial"/>
                <w:b/>
                <w:color w:val="000000"/>
                <w:spacing w:val="-4"/>
                <w:w w:val="105"/>
                <w:sz w:val="18"/>
                <w:szCs w:val="18"/>
              </w:rPr>
            </w:pPr>
            <w:r w:rsidRPr="00FC1187">
              <w:rPr>
                <w:rFonts w:ascii="Arial" w:hAnsi="Arial" w:cs="Arial"/>
                <w:b/>
                <w:color w:val="000000"/>
                <w:spacing w:val="-4"/>
                <w:w w:val="105"/>
                <w:sz w:val="18"/>
                <w:szCs w:val="18"/>
              </w:rPr>
              <w:t>Název a typ svítidla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4800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08D" w:rsidRPr="00FC1187" w:rsidTr="0066409C">
        <w:trPr>
          <w:trHeight w:hRule="exact" w:val="86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174DC4">
            <w:pPr>
              <w:ind w:left="120"/>
              <w:rPr>
                <w:rFonts w:ascii="Arial Narrow" w:hAnsi="Arial Narrow" w:cs="Arial"/>
                <w:b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b/>
                <w:color w:val="000000"/>
                <w:w w:val="105"/>
                <w:sz w:val="18"/>
                <w:szCs w:val="18"/>
              </w:rPr>
              <w:t>Parametr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174DC4">
            <w:pPr>
              <w:jc w:val="center"/>
              <w:rPr>
                <w:rFonts w:ascii="Arial Narrow" w:hAnsi="Arial Narrow" w:cs="Arial"/>
                <w:b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b/>
                <w:color w:val="000000"/>
                <w:w w:val="105"/>
                <w:sz w:val="18"/>
                <w:szCs w:val="18"/>
              </w:rPr>
              <w:t>Požadavek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174DC4" w:rsidP="008E18A5">
            <w:pPr>
              <w:spacing w:before="36"/>
              <w:jc w:val="center"/>
              <w:rPr>
                <w:rFonts w:ascii="Arial" w:hAnsi="Arial" w:cs="Arial"/>
                <w:b/>
                <w:color w:val="000000"/>
                <w:spacing w:val="-4"/>
                <w:w w:val="105"/>
                <w:sz w:val="18"/>
                <w:szCs w:val="18"/>
              </w:rPr>
            </w:pPr>
            <w:r w:rsidRPr="00FC1187">
              <w:rPr>
                <w:rFonts w:ascii="Arial" w:hAnsi="Arial" w:cs="Arial"/>
                <w:b/>
                <w:color w:val="000000"/>
                <w:spacing w:val="-4"/>
                <w:w w:val="105"/>
                <w:sz w:val="18"/>
                <w:szCs w:val="18"/>
              </w:rPr>
              <w:t xml:space="preserve">Nabízené parametry </w:t>
            </w:r>
            <w:r w:rsidRPr="00FC1187">
              <w:rPr>
                <w:rFonts w:ascii="Arial" w:hAnsi="Arial" w:cs="Arial"/>
                <w:b/>
                <w:color w:val="000000"/>
                <w:spacing w:val="-4"/>
                <w:w w:val="105"/>
                <w:sz w:val="18"/>
                <w:szCs w:val="18"/>
              </w:rPr>
              <w:br/>
            </w:r>
            <w:r w:rsidR="008E18A5" w:rsidRPr="00FC1187">
              <w:rPr>
                <w:rFonts w:ascii="Arial" w:hAnsi="Arial" w:cs="Arial"/>
                <w:b/>
                <w:color w:val="000000"/>
                <w:w w:val="105"/>
                <w:sz w:val="18"/>
                <w:szCs w:val="18"/>
              </w:rPr>
              <w:t>uchazečem</w:t>
            </w:r>
          </w:p>
        </w:tc>
      </w:tr>
      <w:tr w:rsidR="0048008D" w:rsidRPr="00FC1187" w:rsidTr="0066409C">
        <w:trPr>
          <w:trHeight w:hRule="exact" w:val="46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FC1187" w:rsidRDefault="00174DC4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Příkon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FC1187" w:rsidRDefault="003E1FEF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  <w:r w:rsidR="00174DC4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W</w:t>
            </w:r>
            <w:proofErr w:type="gramEnd"/>
            <w:r w:rsidR="00174DC4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až </w:t>
            </w:r>
            <w:r w:rsidR="008E72B6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  <w:r w:rsidR="00174DC4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0 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48008D" w:rsidP="00C7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08D" w:rsidRPr="00FC1187" w:rsidTr="00FC1187">
        <w:trPr>
          <w:trHeight w:hRule="exact" w:val="30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174DC4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Jmenovité napětí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174DC4" w:rsidP="00674C5E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230V</w:t>
            </w:r>
            <w:proofErr w:type="gram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±10%, 50 Hz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48008D" w:rsidP="00C546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08D" w:rsidRPr="00FC1187" w:rsidTr="00FC1187">
        <w:trPr>
          <w:trHeight w:hRule="exact" w:val="83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174DC4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Ochrana proti přepětí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FC1187" w:rsidRDefault="00674C5E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přepěťová ochrana typu 2+3 (5kA</w:t>
            </w:r>
            <w:r w:rsidR="0030047C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/10kV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:rsidR="00674C5E" w:rsidRPr="00FC1187" w:rsidRDefault="00674C5E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přímo ve svítidle (vyměnitelná bez</w:t>
            </w:r>
          </w:p>
          <w:p w:rsidR="0048008D" w:rsidRPr="00FC1187" w:rsidRDefault="00674C5E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nutnosti demontáže svítidla ze stožáru)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FC1187" w:rsidRDefault="00674C5E" w:rsidP="00C7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008D" w:rsidRPr="00FC1187" w:rsidRDefault="0048008D" w:rsidP="00C767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08D" w:rsidRPr="00FC1187" w:rsidTr="0066409C">
        <w:trPr>
          <w:trHeight w:hRule="exact" w:val="80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E33E80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Provedení </w:t>
            </w:r>
            <w:r w:rsidR="005544BB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předřadného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zdroje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5544BB" w:rsidP="00674C5E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multifunkční s možností nastavení regulačních diagramů výkonu s </w:t>
            </w:r>
            <w:r w:rsidR="00E33E80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integrovan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ou</w:t>
            </w:r>
            <w:r w:rsidR="00E33E80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přepěťov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ou</w:t>
            </w:r>
            <w:r w:rsidR="00E33E80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33E80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ochran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ou</w:t>
            </w:r>
            <w:r w:rsidR="00E33E80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min.</w:t>
            </w:r>
            <w:proofErr w:type="gramEnd"/>
            <w:r w:rsidR="00E33E80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6kV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48008D" w:rsidP="00C7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3E80" w:rsidRPr="00FC1187" w:rsidTr="00FC1187">
        <w:trPr>
          <w:trHeight w:hRule="exact" w:val="64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0" w:rsidRPr="00FC1187" w:rsidRDefault="00E33E80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Provedení světelného zdroje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0" w:rsidRPr="00FC1187" w:rsidRDefault="00E33E80" w:rsidP="00674C5E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LED modul s jednotlivými účinnými 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diodami s optickým systémem (nikoliv COB čip)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0" w:rsidRPr="00FC1187" w:rsidRDefault="00E33E80" w:rsidP="00C7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08D" w:rsidRPr="00FC118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FC1187" w:rsidRDefault="00174DC4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Počet variant optik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FC1187" w:rsidRDefault="00174DC4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≥ </w:t>
            </w:r>
            <w:r w:rsidR="00D33AF4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FC1187" w:rsidRDefault="0048008D" w:rsidP="00C767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9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Doplnění optického systému: Čočky svítidla musí umožnovat osadit clonou 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BeckLight</w:t>
            </w:r>
            <w:proofErr w:type="spell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která omezí světelný tok svítidla směrem za svítidlo. Uchazeč doloží s nabídku vzorek této clony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6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Měrný světelný výkon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≥ 115 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lm</w:t>
            </w:r>
            <w:proofErr w:type="spell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/ 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Teplota chromatičnosti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2 700 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Index podání barev 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Ra</w:t>
            </w:r>
            <w:proofErr w:type="spell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≥ 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Životnost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≥ 100 000 hodin / L90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Krytí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≥ IP 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Mechanická odolnost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≥ IK09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Provozní teplota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min rozsah - 40 °C až + 45 °C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47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Naklápění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min rozsah - 20 ° až + 15 ° (možnost 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instalace na stožár bez výložníku)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Hmotnost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8E72B6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≥ </w:t>
            </w:r>
            <w:r w:rsidR="00C03A0B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  <w:r w:rsidR="001419B9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6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Účinnost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≥ 93 %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Pasivní chlazení LED modulu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6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Teplotní ochrana LED zdrojů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5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Materiál tělesa </w:t>
            </w:r>
            <w:proofErr w:type="gram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svítidla - AL</w:t>
            </w:r>
            <w:proofErr w:type="gram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slitina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76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Difusor musí být rovný, skleněný a </w:t>
            </w:r>
            <w:r w:rsidR="00C22981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z vnitřní strany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korpusu svítidla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B1552D">
            <w:pPr>
              <w:spacing w:before="36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57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Odpínací svorka, která odpojí svítidlo od napájecího napětí při otevření svítidla pro zajištění beznapěťového stavu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56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Korpus svítidla bez chladících žeber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43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Korpus svítidla musí být vybaven přetlakovým ventilem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1419B9">
        <w:trPr>
          <w:trHeight w:hRule="exact" w:val="66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Montáž na dřík stožáru nebo výložník</w:t>
            </w:r>
          </w:p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 Ø 42-60 mm (bez dalšího příslušenství)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369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Uchycení k výložníku nebo stožáru nerezovými šrouby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66409C">
        <w:trPr>
          <w:trHeight w:hRule="exact" w:val="403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Certifikáty: ENEC, CB, 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465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Funkce konstantního světelného toku „CLO“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617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Funkce 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AstroDIM</w:t>
            </w:r>
            <w:proofErr w:type="spell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pro nastavení autonomního řízení stmívání s možností nastavení několika úrovní stmívání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970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Svítidlo musí být originálně zamýšleno pouze se světelnými zdroji LED. Nesmí se</w:t>
            </w:r>
          </w:p>
          <w:p w:rsidR="001419B9" w:rsidRPr="00FC1187" w:rsidRDefault="001419B9" w:rsidP="00B1552D">
            <w:pPr>
              <w:autoSpaceDE w:val="0"/>
              <w:autoSpaceDN w:val="0"/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jednat o tzv. 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retrofit</w:t>
            </w:r>
            <w:proofErr w:type="spell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</w:t>
            </w:r>
            <w:r w:rsidR="00B1552D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kdy 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lze </w:t>
            </w:r>
            <w:r w:rsidR="00B1552D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svítidlo 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osadit jak konvenčními zdroji, tak</w:t>
            </w:r>
            <w:r w:rsidR="00B1552D"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zdroji LED.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1419B9">
        <w:trPr>
          <w:trHeight w:hRule="exact" w:val="862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autoSpaceDE w:val="0"/>
              <w:autoSpaceDN w:val="0"/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Svítidlo musí být chlazeno pouze pasivně, nikoliv aktivně za použití</w:t>
            </w:r>
          </w:p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ventilátorů nebo podobných zařízení.</w:t>
            </w:r>
          </w:p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331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Tepelná ochrana napaječe s reverzní pojistkou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545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Integrované vodováha v těle svítidla pro bezproblémovou a zcela rovnou instalaci svítidla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1419B9">
        <w:trPr>
          <w:trHeight w:hRule="exact" w:val="429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Integrovaná tavná pojistka ve svítidle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1419B9">
        <w:trPr>
          <w:trHeight w:hRule="exact" w:val="577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Konstrukce svítidla musí umožňovat instalaci NEMA 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Socketu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491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0% podíl světelného toku do horního </w:t>
            </w: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poloprostoru při sklonu svítidla 0° (ULR)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501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Svítidla musí mít ve všech výkonných a rozměrových variantách jednotný design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525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Svítidlo musí mít konstrukčně (mechanicky) oddělenou předřadnou a optickou část svítidla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1002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Doložit výpočty jednotlivých světelných situací v otevřeném souboru (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Relux</w:t>
            </w:r>
            <w:proofErr w:type="spell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Dialux</w:t>
            </w:r>
            <w:proofErr w:type="spellEnd"/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) a křivky svítivosti (LDT data) navrhovaných svítidel na přenosném médiu pro ověření deklarovaných parametrů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422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ind w:left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z w:val="18"/>
                <w:szCs w:val="18"/>
              </w:rPr>
              <w:t>Rozměry svítidla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C03A0B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dopor</w:t>
            </w:r>
            <w:r w:rsidR="001419B9"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. 4</w:t>
            </w:r>
            <w:r w:rsidR="000D14B7"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12</w:t>
            </w:r>
            <w:r w:rsidR="001419B9"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 xml:space="preserve"> x 229 x 114 mm (délka x šířka x výška)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9B9" w:rsidRPr="00FC1187" w:rsidTr="00FC1187">
        <w:trPr>
          <w:trHeight w:hRule="exact" w:val="415"/>
        </w:trPr>
        <w:tc>
          <w:tcPr>
            <w:tcW w:w="4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spacing w:before="36"/>
              <w:ind w:left="108" w:right="468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spacing w:val="-9"/>
                <w:w w:val="105"/>
                <w:sz w:val="18"/>
                <w:szCs w:val="18"/>
              </w:rPr>
              <w:t>Záruka na svítidlo min. 60 měsíců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9B9" w:rsidRPr="00FC1187" w:rsidRDefault="001419B9" w:rsidP="001419B9">
            <w:pPr>
              <w:jc w:val="center"/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</w:pPr>
            <w:r w:rsidRPr="00FC1187">
              <w:rPr>
                <w:rFonts w:ascii="Arial Narrow" w:hAnsi="Arial Narrow" w:cs="Arial"/>
                <w:color w:val="000000"/>
                <w:w w:val="105"/>
                <w:sz w:val="18"/>
                <w:szCs w:val="18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9B9" w:rsidRPr="00FC1187" w:rsidRDefault="001419B9" w:rsidP="001419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8008D" w:rsidRDefault="00B35401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  <w:r w:rsidRPr="00B35401">
        <w:rPr>
          <w:rFonts w:ascii="Calibri" w:hAnsi="Calibri"/>
          <w:noProof/>
          <w:color w:val="000000"/>
          <w:spacing w:val="-4"/>
          <w:w w:val="105"/>
          <w:sz w:val="20"/>
          <w:lang w:eastAsia="cs-CZ"/>
        </w:rPr>
        <w:drawing>
          <wp:inline distT="0" distB="0" distL="0" distR="0" wp14:anchorId="6DBE18C2" wp14:editId="5A53A3B8">
            <wp:extent cx="3073779" cy="1914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9730" cy="19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99C" w:rsidRPr="00A0099C">
        <w:rPr>
          <w:rFonts w:ascii="Calibri" w:hAnsi="Calibri"/>
          <w:noProof/>
          <w:color w:val="000000"/>
          <w:spacing w:val="-4"/>
          <w:w w:val="105"/>
          <w:sz w:val="20"/>
          <w:lang w:eastAsia="cs-CZ"/>
        </w:rPr>
        <w:drawing>
          <wp:inline distT="0" distB="0" distL="0" distR="0" wp14:anchorId="6149330A" wp14:editId="39DEB36C">
            <wp:extent cx="2486025" cy="19266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0139" cy="19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01" w:rsidRDefault="00B35401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:rsidR="00FC1187" w:rsidRDefault="00BC4374" w:rsidP="00FC1187">
      <w:pPr>
        <w:spacing w:line="266" w:lineRule="auto"/>
        <w:rPr>
          <w:noProof/>
        </w:rPr>
      </w:pPr>
      <w:r w:rsidRPr="00BC4374">
        <w:rPr>
          <w:noProof/>
        </w:rPr>
        <w:t xml:space="preserve"> </w:t>
      </w:r>
      <w:r w:rsidR="00FC2E58">
        <w:rPr>
          <w:rFonts w:ascii="Calibri" w:hAnsi="Calibri"/>
          <w:color w:val="000000"/>
          <w:spacing w:val="-4"/>
          <w:w w:val="105"/>
          <w:sz w:val="20"/>
        </w:rPr>
        <w:t>doporučený</w:t>
      </w:r>
      <w:bookmarkStart w:id="0" w:name="_GoBack"/>
      <w:bookmarkEnd w:id="0"/>
      <w:r>
        <w:rPr>
          <w:rFonts w:ascii="Calibri" w:hAnsi="Calibri"/>
          <w:color w:val="000000"/>
          <w:spacing w:val="-4"/>
          <w:w w:val="105"/>
          <w:sz w:val="20"/>
        </w:rPr>
        <w:t xml:space="preserve"> tvar svítidla</w:t>
      </w:r>
    </w:p>
    <w:p w:rsidR="0048008D" w:rsidRPr="00FC1187" w:rsidRDefault="00EC3F18" w:rsidP="00FC1187">
      <w:pPr>
        <w:spacing w:line="266" w:lineRule="auto"/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151ABF6" wp14:editId="353E9AF0">
                <wp:simplePos x="0" y="0"/>
                <wp:positionH relativeFrom="column">
                  <wp:posOffset>3625215</wp:posOffset>
                </wp:positionH>
                <wp:positionV relativeFrom="paragraph">
                  <wp:posOffset>806449</wp:posOffset>
                </wp:positionV>
                <wp:extent cx="1695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EE2CD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45pt,63.5pt" to="418.9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RtHw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" strokeweight="1.45pt">
                <v:stroke dashstyle="1 1"/>
              </v:line>
            </w:pict>
          </mc:Fallback>
        </mc:AlternateContent>
      </w:r>
      <w:r w:rsidR="00174DC4" w:rsidRPr="00C767C0">
        <w:rPr>
          <w:rFonts w:ascii="Calibri" w:hAnsi="Calibri"/>
          <w:color w:val="000000"/>
          <w:w w:val="105"/>
        </w:rPr>
        <w:t>V</w:t>
      </w:r>
      <w:r w:rsidR="00174DC4" w:rsidRPr="00C767C0">
        <w:rPr>
          <w:rFonts w:ascii="Calibri" w:hAnsi="Calibri"/>
          <w:color w:val="000000"/>
          <w:w w:val="105"/>
        </w:rPr>
        <w:tab/>
        <w:t>dne</w:t>
      </w:r>
      <w:r w:rsidR="00174DC4" w:rsidRPr="00C767C0">
        <w:rPr>
          <w:rFonts w:ascii="Calibri" w:hAnsi="Calibri"/>
          <w:color w:val="000000"/>
          <w:w w:val="105"/>
        </w:rPr>
        <w:tab/>
      </w:r>
    </w:p>
    <w:p w:rsidR="0048008D" w:rsidRDefault="00174DC4">
      <w:pPr>
        <w:spacing w:before="180" w:line="268" w:lineRule="auto"/>
        <w:ind w:left="5688"/>
        <w:rPr>
          <w:rFonts w:ascii="Calibri" w:hAnsi="Calibri"/>
          <w:color w:val="000000"/>
          <w:spacing w:val="-5"/>
          <w:sz w:val="6"/>
        </w:rPr>
      </w:pPr>
      <w:r w:rsidRPr="00C767C0">
        <w:rPr>
          <w:rFonts w:ascii="Calibri" w:hAnsi="Calibri"/>
          <w:color w:val="000000"/>
          <w:spacing w:val="-5"/>
          <w:sz w:val="6"/>
        </w:rPr>
        <w:t>(</w:t>
      </w:r>
      <w:r w:rsidRPr="00C767C0">
        <w:rPr>
          <w:rFonts w:ascii="Calibri" w:hAnsi="Calibri"/>
          <w:i/>
          <w:color w:val="000000"/>
          <w:spacing w:val="-5"/>
          <w:w w:val="110"/>
          <w:sz w:val="16"/>
        </w:rPr>
        <w:t>podp</w:t>
      </w:r>
      <w:r>
        <w:rPr>
          <w:rFonts w:ascii="Calibri" w:hAnsi="Calibri"/>
          <w:i/>
          <w:color w:val="000000"/>
          <w:spacing w:val="-5"/>
          <w:w w:val="110"/>
          <w:sz w:val="16"/>
        </w:rPr>
        <w:t>is s</w:t>
      </w:r>
      <w:r w:rsidR="00FC1187">
        <w:rPr>
          <w:rFonts w:ascii="Calibri" w:hAnsi="Calibri"/>
          <w:i/>
          <w:color w:val="000000"/>
          <w:spacing w:val="-5"/>
          <w:w w:val="110"/>
          <w:sz w:val="16"/>
        </w:rPr>
        <w:t>tatutárního zástupce dodavatele</w:t>
      </w:r>
    </w:p>
    <w:sectPr w:rsidR="0048008D" w:rsidSect="00C22981">
      <w:footerReference w:type="default" r:id="rId8"/>
      <w:pgSz w:w="11918" w:h="16854"/>
      <w:pgMar w:top="712" w:right="1279" w:bottom="568" w:left="1339" w:header="720" w:footer="1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B8" w:rsidRDefault="00462FB8" w:rsidP="00C22981">
      <w:r>
        <w:separator/>
      </w:r>
    </w:p>
  </w:endnote>
  <w:endnote w:type="continuationSeparator" w:id="0">
    <w:p w:rsidR="00462FB8" w:rsidRDefault="00462FB8" w:rsidP="00C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39148"/>
      <w:docPartObj>
        <w:docPartGallery w:val="Page Numbers (Bottom of Page)"/>
        <w:docPartUnique/>
      </w:docPartObj>
    </w:sdtPr>
    <w:sdtEndPr/>
    <w:sdtContent>
      <w:p w:rsidR="00C22981" w:rsidRDefault="00C229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4D">
          <w:rPr>
            <w:noProof/>
          </w:rPr>
          <w:t>1</w:t>
        </w:r>
        <w:r>
          <w:fldChar w:fldCharType="end"/>
        </w:r>
      </w:p>
    </w:sdtContent>
  </w:sdt>
  <w:p w:rsidR="00C22981" w:rsidRDefault="00C22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B8" w:rsidRDefault="00462FB8" w:rsidP="00C22981">
      <w:r>
        <w:separator/>
      </w:r>
    </w:p>
  </w:footnote>
  <w:footnote w:type="continuationSeparator" w:id="0">
    <w:p w:rsidR="00462FB8" w:rsidRDefault="00462FB8" w:rsidP="00C2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8D"/>
    <w:rsid w:val="00002A62"/>
    <w:rsid w:val="000039AB"/>
    <w:rsid w:val="00014015"/>
    <w:rsid w:val="00057357"/>
    <w:rsid w:val="000756B2"/>
    <w:rsid w:val="000B0F55"/>
    <w:rsid w:val="000D14B7"/>
    <w:rsid w:val="000E27BA"/>
    <w:rsid w:val="000F7FF7"/>
    <w:rsid w:val="001419B9"/>
    <w:rsid w:val="00151ECC"/>
    <w:rsid w:val="00174DC4"/>
    <w:rsid w:val="0017724D"/>
    <w:rsid w:val="001E7B54"/>
    <w:rsid w:val="00221491"/>
    <w:rsid w:val="00230CB2"/>
    <w:rsid w:val="0030047C"/>
    <w:rsid w:val="00390BD0"/>
    <w:rsid w:val="003D59C0"/>
    <w:rsid w:val="003E1FEF"/>
    <w:rsid w:val="00407A4F"/>
    <w:rsid w:val="00412C23"/>
    <w:rsid w:val="004225BB"/>
    <w:rsid w:val="004302E6"/>
    <w:rsid w:val="0043346C"/>
    <w:rsid w:val="00462FB8"/>
    <w:rsid w:val="0048008D"/>
    <w:rsid w:val="004822AB"/>
    <w:rsid w:val="004C5F34"/>
    <w:rsid w:val="005544BB"/>
    <w:rsid w:val="005852FF"/>
    <w:rsid w:val="0066409C"/>
    <w:rsid w:val="00674C5E"/>
    <w:rsid w:val="00783502"/>
    <w:rsid w:val="007867A7"/>
    <w:rsid w:val="00887FCC"/>
    <w:rsid w:val="00892A7F"/>
    <w:rsid w:val="008A405F"/>
    <w:rsid w:val="008E18A5"/>
    <w:rsid w:val="008E72B6"/>
    <w:rsid w:val="0094623A"/>
    <w:rsid w:val="0096259D"/>
    <w:rsid w:val="0096523D"/>
    <w:rsid w:val="00A0099C"/>
    <w:rsid w:val="00A27325"/>
    <w:rsid w:val="00A82C4A"/>
    <w:rsid w:val="00AC26EE"/>
    <w:rsid w:val="00AE42AD"/>
    <w:rsid w:val="00AF5691"/>
    <w:rsid w:val="00B1552D"/>
    <w:rsid w:val="00B264B7"/>
    <w:rsid w:val="00B35401"/>
    <w:rsid w:val="00B56D74"/>
    <w:rsid w:val="00B731BB"/>
    <w:rsid w:val="00BC4374"/>
    <w:rsid w:val="00C03A0B"/>
    <w:rsid w:val="00C22981"/>
    <w:rsid w:val="00C5465D"/>
    <w:rsid w:val="00C767C0"/>
    <w:rsid w:val="00CD67E8"/>
    <w:rsid w:val="00CF6C6E"/>
    <w:rsid w:val="00D33AF4"/>
    <w:rsid w:val="00D8545C"/>
    <w:rsid w:val="00DC4B55"/>
    <w:rsid w:val="00DF2691"/>
    <w:rsid w:val="00E1273C"/>
    <w:rsid w:val="00E33E80"/>
    <w:rsid w:val="00E80A04"/>
    <w:rsid w:val="00EC3F18"/>
    <w:rsid w:val="00FC1187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6960E"/>
  <w15:docId w15:val="{107E7D0C-4124-46BB-8179-DE1219E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37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98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22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98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D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</cp:lastModifiedBy>
  <cp:revision>10</cp:revision>
  <cp:lastPrinted>2018-02-15T17:25:00Z</cp:lastPrinted>
  <dcterms:created xsi:type="dcterms:W3CDTF">2019-03-11T12:28:00Z</dcterms:created>
  <dcterms:modified xsi:type="dcterms:W3CDTF">2019-03-28T13:28:00Z</dcterms:modified>
</cp:coreProperties>
</file>